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156977.xml.htm"/>
      <w:bookmarkStart w:id="1" w:name="kswkform4_178415697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Cramer Keith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MEDIAALPHA,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700 SOUTH FLOWER STREET, SUITE 640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LOS ANGELES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MediaAlpha,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MAX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Revenue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67"/>
        <w:gridCol w:w="915"/>
        <w:gridCol w:w="784"/>
        <w:gridCol w:w="607"/>
        <w:gridCol w:w="345"/>
        <w:gridCol w:w="921"/>
        <w:gridCol w:w="437"/>
        <w:gridCol w:w="984"/>
        <w:gridCol w:w="1139"/>
        <w:gridCol w:w="98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13,000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14.1919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267,528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on this Form 4 were effected pursuant to a Rule 10b5-1 trading plan previously adopted by the Reporting Person primarily to cover taxes resulting from the vesting of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the weighted-average sale price for shares sold in multiple transactions at prices ranging from $13.87 to $14.31 per share. The Reporting Person undertakes to provide upon request by the Securities and Exchange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B. Coyne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29989" TargetMode="External"/><Relationship Id="rId5" Type="http://schemas.openxmlformats.org/officeDocument/2006/relationships/hyperlink" Target="http://www.sec.gov/cgi-bin/browse-edgar?action=getcompany&amp;CIK=00018183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657</Words>
  <Characters>3551</Characters>
  <CharactersWithSpaces>4146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