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18013.xml.htm"/>
      <w:bookmarkStart w:id="1" w:name="kswkform4_17870180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Yeh Kuanling Amy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MEDIAALPHA,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SOUTH FLOWER STREET, SUITE 640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ANGELES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MediaAlpha, Inc.</w:t>
              </w:r>
            </w:hyperlink>
            <w:r>
              <w:rPr/>
              <w:t xml:space="preserve"> [ </w:t>
            </w:r>
            <w:r>
              <w:rPr>
                <w:rFonts w:ascii="Times;serif" w:hAnsi="Times;serif"/>
                <w:color w:val="0000FF"/>
                <w:sz w:val="24"/>
                <w:shd w:fill="FFFFFF" w:val="clear"/>
              </w:rPr>
              <w:t>MAX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13.5514</w:t>
            </w:r>
            <w:r>
              <w:rPr>
                <w:rFonts w:ascii="Times;serif" w:hAnsi="Times;serif"/>
                <w:color w:val="008000"/>
                <w:position w:val="7"/>
                <w:sz w:val="16"/>
                <w:sz w:val="20"/>
                <w:shd w:fill="FFFFFF" w:val="clear"/>
              </w:rPr>
              <w:t>(2)</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541,985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547,288</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(3)</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552,091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10,607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4,803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28,819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on this Form 4 were effected pursuant to a Rule 10b5-1 trading plan previously adopted by the Reporting Person primarily to cover taxes resulting from the vesting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weighted-average sale price for shares sold in multiple transactions at prices ranging from $13.435 to $13.68 per share. The Reporting Person undertakes to provide upon request by the Securities and Exchange Commission staff, the issuer, or a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 share of Class A Common Stock was issued upon the vesting of each Restricted Stock Unit ("RSU").</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RSUs granted under the Issuer's Omnibus Equity Incentive Plan on March 15,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 sixteenth of the RSUs vested on May 15, 2023 and the remainder will vest quarterly over the following four years, in each case subject to continued employment with the Issuer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RSUs granted under the Issuer's Omnibus Equity Incentive Plan on March 15,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One sixteenth of the RSUs vested on May 15, 2024 and the remainder will vest quarterly over the following four years, in each case subject to continued employment with the Issuer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B. Coyne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29969" TargetMode="External"/><Relationship Id="rId5" Type="http://schemas.openxmlformats.org/officeDocument/2006/relationships/hyperlink" Target="http://www.sec.gov/cgi-bin/browse-edgar?action=getcompany&amp;CIK=00018183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838</Words>
  <Characters>4415</Characters>
  <CharactersWithSpaces>5138</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