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18027.xml.htm"/>
      <w:bookmarkStart w:id="1" w:name="kswkform4_17870180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Thompson Patrick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82"/>
        <w:gridCol w:w="449"/>
        <w:gridCol w:w="752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13.17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1,099,078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13.17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1,094,712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13.17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1,086,379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13.17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1,080,127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automatically by the Issuer to cover required tax withholding obligations due at settlement of restricted stock units previously reported in Table I as Class 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Financial Officer and Treasurer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7386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639</Words>
  <Characters>3461</Characters>
  <CharactersWithSpaces>4006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