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185299.xml.htm"/>
      <w:bookmarkStart w:id="1" w:name="kswkform4_17781852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Jones Ramon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MEDIAALPHA,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700 SOUTH FLOWER STREET, SUITE 640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MediaAlpha, Inc.</w:t>
              </w:r>
            </w:hyperlink>
            <w:r>
              <w:rPr/>
              <w:t xml:space="preserve"> [ </w:t>
            </w:r>
            <w:r>
              <w:rPr>
                <w:rFonts w:ascii="Times;serif" w:hAnsi="Times;serif"/>
                <w:color w:val="0000FF"/>
                <w:sz w:val="24"/>
                <w:shd w:fill="FFFFFF" w:val="clear"/>
              </w:rPr>
              <w:t>MAX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20,750</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28,000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restricted stock units granted to the Reporting Person under the Issuer's Omnibus Incentive Plan, in connection with the Reporting Person's service on the Issuer's board of directors. Each restricted stock unit represents a contingent right to receive one share of Class A Common Stock upon vesting. All such restricted stock units will vest on the earlier of the first anniversary of the grant date or the date of the Issuer's 2027 Annual Meeting, subject to the Reporting Person's continued service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B. Coyne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3643" TargetMode="External"/><Relationship Id="rId5" Type="http://schemas.openxmlformats.org/officeDocument/2006/relationships/hyperlink" Target="http://www.sec.gov/cgi-bin/browse-edgar?action=getcompany&amp;CIK=00018183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652</Words>
  <Characters>3516</Characters>
  <CharactersWithSpaces>4108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