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591698.xml.htm"/>
      <w:bookmarkStart w:id="1" w:name="kswkform4_179159169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Yi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MEDIAALPHA,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SOUTH FLOWER STREET, SUITE 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MediaAlpha,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0"/>
        <w:gridCol w:w="913"/>
        <w:gridCol w:w="783"/>
        <w:gridCol w:w="606"/>
        <w:gridCol w:w="342"/>
        <w:gridCol w:w="913"/>
        <w:gridCol w:w="429"/>
        <w:gridCol w:w="984"/>
        <w:gridCol w:w="1255"/>
        <w:gridCol w:w="972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24,000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10.0393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2,315,740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2,033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11.0068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2,313,707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previously adopted by the Reporting Person primarily to cover taxes resulting from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weighted-average sale price for shares sold in multiple transactions at prices ranging from $10.00 to $10.045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weighted-average sale price for shares sold in multiple transactions at prices ranging from $11.00 to $11.02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EXECUTIVE OFFICER, PRESIDENT, AND CO-FOUNDER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B. Coyne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29946" TargetMode="External"/><Relationship Id="rId5" Type="http://schemas.openxmlformats.org/officeDocument/2006/relationships/hyperlink" Target="http://www.sec.gov/cgi-bin/browse-edgar?action=getcompany&amp;CIK=00018183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733</Words>
  <Characters>3974</Characters>
  <CharactersWithSpaces>4627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